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3C254709" w:rsidR="00F64FFA" w:rsidRDefault="00DA18F3" w:rsidP="00602BE9">
      <w:pPr>
        <w:ind w:left="113"/>
        <w:rPr>
          <w:vertAlign w:val="superscript"/>
        </w:rPr>
      </w:pPr>
      <w:r>
        <w:rPr>
          <w:noProof/>
        </w:rPr>
        <mc:AlternateContent>
          <mc:Choice Requires="wps">
            <w:drawing>
              <wp:anchor distT="0" distB="0" distL="0" distR="0" simplePos="0" relativeHeight="251657728" behindDoc="1" locked="0" layoutInCell="1" allowOverlap="1" wp14:anchorId="3A4063EC" wp14:editId="1582D5E9">
                <wp:simplePos x="0" y="0"/>
                <wp:positionH relativeFrom="margin">
                  <wp:posOffset>-33738</wp:posOffset>
                </wp:positionH>
                <wp:positionV relativeFrom="paragraph">
                  <wp:posOffset>40143</wp:posOffset>
                </wp:positionV>
                <wp:extent cx="5859753" cy="601980"/>
                <wp:effectExtent l="0" t="0" r="27305" b="266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9753"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2.65pt;margin-top:3.15pt;width:461.4pt;height:47.4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tc>
          <w:tcPr>
            <w:tcW w:w="3936" w:type="dxa"/>
            <w:shd w:val="clear" w:color="auto" w:fill="auto"/>
          </w:tcPr>
          <w:p w14:paraId="0E790796" w14:textId="77777777" w:rsidR="00F64FFA" w:rsidRDefault="0038696F">
            <w:pPr>
              <w:pStyle w:val="NoSpacing"/>
              <w:rPr>
                <w:b/>
              </w:rPr>
            </w:pPr>
            <w:r>
              <w:rPr>
                <w:b/>
              </w:rPr>
              <w:t>Date</w:t>
            </w:r>
          </w:p>
        </w:tc>
        <w:tc>
          <w:tcPr>
            <w:tcW w:w="5243" w:type="dxa"/>
            <w:shd w:val="clear" w:color="auto" w:fill="auto"/>
          </w:tcPr>
          <w:p w14:paraId="5424D01F" w14:textId="7FDD6661" w:rsidR="00F64FFA" w:rsidRDefault="00516EB7">
            <w:pPr>
              <w:pStyle w:val="NoSpacing"/>
            </w:pPr>
            <w:r>
              <w:t>1</w:t>
            </w:r>
            <w:r w:rsidR="00A02A97">
              <w:t>5</w:t>
            </w:r>
            <w:r>
              <w:t xml:space="preserve"> July</w:t>
            </w:r>
            <w:r w:rsidR="00242DFB">
              <w:t xml:space="preserve"> </w:t>
            </w:r>
            <w:r w:rsidR="0005549B">
              <w:t xml:space="preserve">2020 </w:t>
            </w:r>
          </w:p>
        </w:tc>
      </w:tr>
      <w:tr w:rsidR="00F64FFA" w14:paraId="73DF0E42" w14:textId="77777777">
        <w:tc>
          <w:tcPr>
            <w:tcW w:w="3936" w:type="dxa"/>
            <w:shd w:val="clear" w:color="auto" w:fill="auto"/>
          </w:tcPr>
          <w:p w14:paraId="773EAFCE" w14:textId="77777777" w:rsidR="00F64FFA" w:rsidRDefault="0038696F">
            <w:pPr>
              <w:pStyle w:val="NoSpacing"/>
              <w:rPr>
                <w:b/>
              </w:rPr>
            </w:pPr>
            <w:r>
              <w:rPr>
                <w:b/>
              </w:rPr>
              <w:t>Issue Resolution Proposal</w:t>
            </w:r>
          </w:p>
        </w:tc>
        <w:tc>
          <w:tcPr>
            <w:tcW w:w="5243" w:type="dxa"/>
            <w:shd w:val="clear" w:color="auto" w:fill="auto"/>
          </w:tcPr>
          <w:p w14:paraId="3AEB6719" w14:textId="0ABB5964" w:rsidR="00F64FFA" w:rsidRDefault="005E4BCC">
            <w:pPr>
              <w:pStyle w:val="NoSpacing"/>
            </w:pPr>
            <w:r>
              <w:t>I</w:t>
            </w:r>
            <w:r w:rsidR="0038696F">
              <w:t>RP</w:t>
            </w:r>
            <w:r w:rsidR="00296737">
              <w:t>6</w:t>
            </w:r>
            <w:r w:rsidR="00D0294A">
              <w:t>31</w:t>
            </w:r>
          </w:p>
        </w:tc>
      </w:tr>
      <w:tr w:rsidR="00F64FFA" w14:paraId="673FEB30" w14:textId="77777777">
        <w:tc>
          <w:tcPr>
            <w:tcW w:w="3936" w:type="dxa"/>
            <w:shd w:val="clear" w:color="auto" w:fill="auto"/>
          </w:tcPr>
          <w:p w14:paraId="4F32F48F" w14:textId="77777777" w:rsidR="00F64FFA" w:rsidRDefault="0038696F">
            <w:pPr>
              <w:pStyle w:val="NoSpacing"/>
              <w:rPr>
                <w:b/>
              </w:rPr>
            </w:pPr>
            <w:r>
              <w:rPr>
                <w:b/>
              </w:rPr>
              <w:t>Issues Log ID</w:t>
            </w:r>
          </w:p>
        </w:tc>
        <w:tc>
          <w:tcPr>
            <w:tcW w:w="5243" w:type="dxa"/>
            <w:shd w:val="clear" w:color="auto" w:fill="auto"/>
          </w:tcPr>
          <w:p w14:paraId="70DCF214" w14:textId="2844E290" w:rsidR="00F64FFA" w:rsidRDefault="00296737">
            <w:pPr>
              <w:pStyle w:val="NoSpacing"/>
            </w:pPr>
            <w:r>
              <w:t>TS</w:t>
            </w:r>
            <w:r w:rsidR="0005549B">
              <w:t>1310</w:t>
            </w:r>
          </w:p>
        </w:tc>
      </w:tr>
      <w:tr w:rsidR="00F64FFA" w14:paraId="7F229363" w14:textId="77777777">
        <w:tc>
          <w:tcPr>
            <w:tcW w:w="3936" w:type="dxa"/>
            <w:shd w:val="clear" w:color="auto" w:fill="auto"/>
          </w:tcPr>
          <w:p w14:paraId="1A2E8F72" w14:textId="77777777" w:rsidR="00F64FFA" w:rsidRDefault="0038696F">
            <w:pPr>
              <w:pStyle w:val="NoSpacing"/>
              <w:rPr>
                <w:b/>
              </w:rPr>
            </w:pPr>
            <w:r>
              <w:rPr>
                <w:b/>
              </w:rPr>
              <w:t>Issue Title</w:t>
            </w:r>
          </w:p>
        </w:tc>
        <w:tc>
          <w:tcPr>
            <w:tcW w:w="5243" w:type="dxa"/>
            <w:shd w:val="clear" w:color="auto" w:fill="auto"/>
          </w:tcPr>
          <w:p w14:paraId="0741B753" w14:textId="551B875B" w:rsidR="00F64FFA" w:rsidRDefault="00D0294A">
            <w:pPr>
              <w:pStyle w:val="NoSpacing"/>
            </w:pPr>
            <w:r w:rsidRPr="00D0294A">
              <w:t>Table 7 3 8</w:t>
            </w:r>
            <w:r w:rsidR="00242DFB">
              <w:t xml:space="preserve"> -</w:t>
            </w:r>
            <w:r w:rsidRPr="00D0294A">
              <w:t xml:space="preserve"> </w:t>
            </w:r>
            <w:r w:rsidR="00FE4DF9">
              <w:t xml:space="preserve">Correction of Inconsistency </w:t>
            </w:r>
          </w:p>
        </w:tc>
      </w:tr>
      <w:tr w:rsidR="00F64FFA" w14:paraId="39C41E68" w14:textId="77777777">
        <w:tc>
          <w:tcPr>
            <w:tcW w:w="3936" w:type="dxa"/>
            <w:shd w:val="clear" w:color="auto" w:fill="auto"/>
          </w:tcPr>
          <w:p w14:paraId="6C7D2B8E" w14:textId="77777777" w:rsidR="00F64FFA" w:rsidRDefault="0038696F">
            <w:pPr>
              <w:pStyle w:val="NoSpacing"/>
              <w:rPr>
                <w:b/>
              </w:rPr>
            </w:pPr>
            <w:r>
              <w:rPr>
                <w:b/>
              </w:rPr>
              <w:t>Source</w:t>
            </w:r>
          </w:p>
        </w:tc>
        <w:tc>
          <w:tcPr>
            <w:tcW w:w="5243" w:type="dxa"/>
            <w:shd w:val="clear" w:color="auto" w:fill="auto"/>
          </w:tcPr>
          <w:p w14:paraId="18FCEAB0" w14:textId="4263DDBF" w:rsidR="00F64FFA" w:rsidRDefault="0005549B">
            <w:pPr>
              <w:pStyle w:val="NoSpacing"/>
            </w:pPr>
            <w:r>
              <w:t>BEIS</w:t>
            </w:r>
          </w:p>
        </w:tc>
      </w:tr>
      <w:tr w:rsidR="00F64FFA" w14:paraId="51E00F00" w14:textId="77777777">
        <w:tc>
          <w:tcPr>
            <w:tcW w:w="3936" w:type="dxa"/>
            <w:shd w:val="clear" w:color="auto" w:fill="auto"/>
          </w:tcPr>
          <w:p w14:paraId="33CF45A9" w14:textId="77777777" w:rsidR="00F64FFA" w:rsidRDefault="0038696F">
            <w:pPr>
              <w:pStyle w:val="NoSpacing"/>
              <w:rPr>
                <w:b/>
              </w:rPr>
            </w:pPr>
            <w:r>
              <w:rPr>
                <w:b/>
              </w:rPr>
              <w:t>Date Raised</w:t>
            </w:r>
          </w:p>
        </w:tc>
        <w:tc>
          <w:tcPr>
            <w:tcW w:w="5243" w:type="dxa"/>
            <w:shd w:val="clear" w:color="auto" w:fill="auto"/>
          </w:tcPr>
          <w:p w14:paraId="31B041FB" w14:textId="58F3EAAA" w:rsidR="00F64FFA" w:rsidRDefault="0005549B">
            <w:pPr>
              <w:pStyle w:val="NoSpacing"/>
            </w:pPr>
            <w:r>
              <w:t>22 May 2020</w:t>
            </w:r>
          </w:p>
        </w:tc>
      </w:tr>
      <w:tr w:rsidR="00F64FFA" w14:paraId="6B2B5221" w14:textId="77777777">
        <w:trPr>
          <w:trHeight w:val="359"/>
        </w:trPr>
        <w:tc>
          <w:tcPr>
            <w:tcW w:w="3936" w:type="dxa"/>
            <w:shd w:val="clear" w:color="auto" w:fill="auto"/>
          </w:tcPr>
          <w:p w14:paraId="1BAC6485" w14:textId="77777777" w:rsidR="00F64FFA" w:rsidRDefault="0038696F">
            <w:pPr>
              <w:pStyle w:val="NoSpacing"/>
              <w:rPr>
                <w:b/>
              </w:rPr>
            </w:pPr>
            <w:r>
              <w:rPr>
                <w:b/>
              </w:rPr>
              <w:t>Status</w:t>
            </w:r>
          </w:p>
        </w:tc>
        <w:tc>
          <w:tcPr>
            <w:tcW w:w="5243" w:type="dxa"/>
            <w:shd w:val="clear" w:color="auto" w:fill="auto"/>
          </w:tcPr>
          <w:p w14:paraId="3F98FCE9" w14:textId="2CE646A4" w:rsidR="00F64FFA" w:rsidRDefault="00296737">
            <w:pPr>
              <w:pStyle w:val="NoSpacing"/>
            </w:pPr>
            <w:r>
              <w:t xml:space="preserve">Draft </w:t>
            </w:r>
            <w:r w:rsidR="00B63A95">
              <w:t>v</w:t>
            </w:r>
            <w:r>
              <w:t>0_</w:t>
            </w:r>
            <w:r w:rsidR="00516EB7">
              <w:t>2</w:t>
            </w:r>
            <w:r w:rsidR="00FE18DC">
              <w:rPr>
                <w:rStyle w:val="FootnoteReference"/>
              </w:rPr>
              <w:footnoteReference w:id="1"/>
            </w:r>
          </w:p>
        </w:tc>
      </w:tr>
      <w:tr w:rsidR="00F64FFA" w14:paraId="33A9928F" w14:textId="77777777">
        <w:tc>
          <w:tcPr>
            <w:tcW w:w="3936" w:type="dxa"/>
            <w:shd w:val="clear" w:color="auto" w:fill="auto"/>
          </w:tcPr>
          <w:p w14:paraId="77FAB3DF" w14:textId="77777777" w:rsidR="00F64FFA" w:rsidRDefault="0038696F">
            <w:pPr>
              <w:pStyle w:val="NoSpacing"/>
              <w:rPr>
                <w:i/>
                <w:sz w:val="16"/>
                <w:szCs w:val="16"/>
              </w:rPr>
            </w:pPr>
            <w:r>
              <w:rPr>
                <w:b/>
              </w:rPr>
              <w:t>Documentation Reference</w:t>
            </w:r>
          </w:p>
        </w:tc>
        <w:tc>
          <w:tcPr>
            <w:tcW w:w="5243" w:type="dxa"/>
            <w:shd w:val="clear" w:color="auto" w:fill="auto"/>
          </w:tcPr>
          <w:p w14:paraId="67D363D3" w14:textId="5EF9B370" w:rsidR="00F64FFA" w:rsidRDefault="00296737">
            <w:pPr>
              <w:pStyle w:val="NoSpacing"/>
            </w:pPr>
            <w:r>
              <w:t>GBCS v3.2</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698DE894" w14:textId="40B0B1C1" w:rsidR="006D7003" w:rsidRPr="0004669B" w:rsidRDefault="006D7003" w:rsidP="006D7003">
      <w:pPr>
        <w:rPr>
          <w:bCs/>
          <w:sz w:val="24"/>
          <w:szCs w:val="24"/>
        </w:rPr>
      </w:pPr>
      <w:r w:rsidRPr="0004669B">
        <w:rPr>
          <w:bCs/>
          <w:sz w:val="24"/>
          <w:szCs w:val="24"/>
        </w:rPr>
        <w:t>The contents of cell D140 in the Objects Tab of GBCS Table 7.3.8 (so Table 7.3.8a) were changed by CRP612, and this is currently reflected in the baselined draft GBCS v4.0</w:t>
      </w:r>
      <w:r w:rsidR="002110AC" w:rsidRPr="0004669B">
        <w:rPr>
          <w:bCs/>
          <w:sz w:val="24"/>
          <w:szCs w:val="24"/>
        </w:rPr>
        <w:t xml:space="preserve"> but is not yet applied to GBCS v3.x</w:t>
      </w:r>
      <w:r w:rsidRPr="0004669B">
        <w:rPr>
          <w:bCs/>
          <w:sz w:val="24"/>
          <w:szCs w:val="24"/>
        </w:rPr>
        <w:t xml:space="preserve">.  </w:t>
      </w:r>
    </w:p>
    <w:p w14:paraId="21A9CBD6" w14:textId="40014E8A" w:rsidR="006D7003" w:rsidRDefault="002110AC" w:rsidP="005E4BCC">
      <w:pPr>
        <w:rPr>
          <w:bCs/>
          <w:sz w:val="24"/>
          <w:szCs w:val="24"/>
        </w:rPr>
      </w:pPr>
      <w:r>
        <w:rPr>
          <w:bCs/>
          <w:sz w:val="24"/>
          <w:szCs w:val="24"/>
        </w:rPr>
        <w:t>This IRP</w:t>
      </w:r>
      <w:r w:rsidR="00B416FC" w:rsidRPr="00B416FC">
        <w:rPr>
          <w:bCs/>
          <w:sz w:val="24"/>
          <w:szCs w:val="24"/>
        </w:rPr>
        <w:t xml:space="preserve"> </w:t>
      </w:r>
      <w:r>
        <w:rPr>
          <w:bCs/>
          <w:sz w:val="24"/>
          <w:szCs w:val="24"/>
        </w:rPr>
        <w:t xml:space="preserve">is </w:t>
      </w:r>
      <w:r w:rsidR="00B416FC" w:rsidRPr="00B416FC">
        <w:rPr>
          <w:bCs/>
          <w:sz w:val="24"/>
          <w:szCs w:val="24"/>
        </w:rPr>
        <w:t>to incorporate</w:t>
      </w:r>
      <w:r>
        <w:rPr>
          <w:bCs/>
          <w:sz w:val="24"/>
          <w:szCs w:val="24"/>
        </w:rPr>
        <w:t xml:space="preserve"> the same changes</w:t>
      </w:r>
      <w:r w:rsidR="00B416FC" w:rsidRPr="00B416FC">
        <w:rPr>
          <w:bCs/>
          <w:sz w:val="24"/>
          <w:szCs w:val="24"/>
        </w:rPr>
        <w:t xml:space="preserve"> in GBCS v3.x</w:t>
      </w:r>
      <w:r w:rsidR="00B416FC">
        <w:rPr>
          <w:rStyle w:val="FootnoteReference"/>
        </w:rPr>
        <w:footnoteReference w:id="2"/>
      </w:r>
      <w:r w:rsidR="00B416FC">
        <w:t xml:space="preserve"> </w:t>
      </w:r>
      <w:r w:rsidR="00B416FC" w:rsidRPr="00B416FC">
        <w:rPr>
          <w:bCs/>
          <w:sz w:val="24"/>
          <w:szCs w:val="24"/>
        </w:rPr>
        <w:t xml:space="preserve"> (consistent with GBCS v4</w:t>
      </w:r>
      <w:r w:rsidR="00B416FC">
        <w:rPr>
          <w:bCs/>
          <w:sz w:val="24"/>
          <w:szCs w:val="24"/>
        </w:rPr>
        <w:t>.0</w:t>
      </w:r>
      <w:r w:rsidR="00B416FC" w:rsidRPr="00B416FC">
        <w:rPr>
          <w:bCs/>
          <w:sz w:val="24"/>
          <w:szCs w:val="24"/>
        </w:rPr>
        <w:t xml:space="preserve">) </w:t>
      </w:r>
      <w:r>
        <w:rPr>
          <w:bCs/>
          <w:sz w:val="24"/>
          <w:szCs w:val="24"/>
        </w:rPr>
        <w:t xml:space="preserve">to </w:t>
      </w:r>
      <w:r w:rsidR="00B416FC" w:rsidRPr="00B416FC">
        <w:rPr>
          <w:bCs/>
          <w:sz w:val="24"/>
          <w:szCs w:val="24"/>
        </w:rPr>
        <w:t>align Table 7.3.8a requirements to the overall policy intent</w:t>
      </w:r>
      <w:r w:rsidR="00AE782F">
        <w:rPr>
          <w:bCs/>
          <w:sz w:val="24"/>
          <w:szCs w:val="24"/>
        </w:rPr>
        <w:t>,</w:t>
      </w:r>
      <w:r w:rsidR="00B416FC" w:rsidRPr="00B416FC">
        <w:rPr>
          <w:bCs/>
          <w:sz w:val="24"/>
          <w:szCs w:val="24"/>
        </w:rPr>
        <w:t xml:space="preserve"> as documented within the explanations to TS1233, TS1255 and</w:t>
      </w:r>
      <w:r w:rsidR="006D7003">
        <w:rPr>
          <w:bCs/>
          <w:sz w:val="24"/>
          <w:szCs w:val="24"/>
        </w:rPr>
        <w:t xml:space="preserve"> most specifically T</w:t>
      </w:r>
      <w:r w:rsidR="00B416FC" w:rsidRPr="00B416FC">
        <w:rPr>
          <w:bCs/>
          <w:sz w:val="24"/>
          <w:szCs w:val="24"/>
        </w:rPr>
        <w:t>S1257</w:t>
      </w:r>
      <w:r w:rsidR="00B416FC">
        <w:rPr>
          <w:bCs/>
          <w:sz w:val="24"/>
          <w:szCs w:val="24"/>
        </w:rPr>
        <w:t xml:space="preserve"> </w:t>
      </w:r>
      <w:r w:rsidR="00B416FC">
        <w:t>(copies of these explanations are embedded in the table below)</w:t>
      </w:r>
      <w:r w:rsidR="00B416FC" w:rsidRPr="00B416FC">
        <w:rPr>
          <w:bCs/>
          <w:sz w:val="24"/>
          <w:szCs w:val="24"/>
        </w:rPr>
        <w:t xml:space="preserve">. </w:t>
      </w:r>
      <w:r w:rsidR="00B416FC">
        <w:rPr>
          <w:bCs/>
          <w:sz w:val="24"/>
          <w:szCs w:val="24"/>
        </w:rPr>
        <w:t xml:space="preserve"> </w:t>
      </w:r>
    </w:p>
    <w:p w14:paraId="3584A30C" w14:textId="23C006B3" w:rsidR="00B416FC" w:rsidRPr="00B416FC" w:rsidRDefault="00B416FC" w:rsidP="005E4BCC">
      <w:pPr>
        <w:rPr>
          <w:bCs/>
          <w:sz w:val="24"/>
          <w:szCs w:val="24"/>
        </w:rPr>
      </w:pPr>
      <w:r w:rsidRPr="00B416FC">
        <w:rPr>
          <w:bCs/>
          <w:sz w:val="24"/>
          <w:szCs w:val="24"/>
        </w:rPr>
        <w:t>Th</w:t>
      </w:r>
      <w:r w:rsidR="002110AC">
        <w:rPr>
          <w:bCs/>
          <w:sz w:val="24"/>
          <w:szCs w:val="24"/>
        </w:rPr>
        <w:t xml:space="preserve">is </w:t>
      </w:r>
      <w:r w:rsidRPr="00B416FC">
        <w:rPr>
          <w:bCs/>
          <w:sz w:val="24"/>
          <w:szCs w:val="24"/>
        </w:rPr>
        <w:t xml:space="preserve">IRP </w:t>
      </w:r>
      <w:r w:rsidR="002110AC">
        <w:rPr>
          <w:bCs/>
          <w:sz w:val="24"/>
          <w:szCs w:val="24"/>
        </w:rPr>
        <w:t xml:space="preserve">does not trigger any requirements to end date previous versions of </w:t>
      </w:r>
      <w:r w:rsidRPr="00B416FC">
        <w:rPr>
          <w:bCs/>
          <w:sz w:val="24"/>
          <w:szCs w:val="24"/>
        </w:rPr>
        <w:t>GBCS</w:t>
      </w:r>
      <w:r>
        <w:rPr>
          <w:bCs/>
          <w:sz w:val="24"/>
          <w:szCs w:val="24"/>
        </w:rPr>
        <w:t xml:space="preserve"> </w:t>
      </w:r>
      <w:r w:rsidR="002110AC">
        <w:rPr>
          <w:bCs/>
          <w:sz w:val="24"/>
          <w:szCs w:val="24"/>
        </w:rPr>
        <w:t>through the TSAT</w:t>
      </w:r>
      <w:r w:rsidRPr="00B416FC">
        <w:rPr>
          <w:bCs/>
          <w:sz w:val="24"/>
          <w:szCs w:val="24"/>
        </w:rPr>
        <w:t xml:space="preserve">.  </w:t>
      </w:r>
      <w:r w:rsidR="002110AC">
        <w:rPr>
          <w:bCs/>
          <w:sz w:val="24"/>
          <w:szCs w:val="24"/>
        </w:rPr>
        <w:t>Any</w:t>
      </w:r>
      <w:r w:rsidRPr="00B416FC">
        <w:rPr>
          <w:bCs/>
          <w:sz w:val="24"/>
          <w:szCs w:val="24"/>
        </w:rPr>
        <w:t xml:space="preserve"> changes to TSAT will be separately </w:t>
      </w:r>
      <w:r w:rsidR="002110AC">
        <w:rPr>
          <w:bCs/>
          <w:sz w:val="24"/>
          <w:szCs w:val="24"/>
        </w:rPr>
        <w:t xml:space="preserve">consulted on </w:t>
      </w:r>
      <w:r w:rsidRPr="00B416FC">
        <w:rPr>
          <w:bCs/>
          <w:sz w:val="24"/>
          <w:szCs w:val="24"/>
        </w:rPr>
        <w:t xml:space="preserve">through </w:t>
      </w:r>
      <w:r w:rsidR="002110AC">
        <w:rPr>
          <w:bCs/>
          <w:sz w:val="24"/>
          <w:szCs w:val="24"/>
        </w:rPr>
        <w:t xml:space="preserve">the </w:t>
      </w:r>
      <w:r w:rsidRPr="00B416FC">
        <w:rPr>
          <w:bCs/>
          <w:sz w:val="24"/>
          <w:szCs w:val="24"/>
        </w:rPr>
        <w:t>SEC Mod</w:t>
      </w:r>
      <w:r w:rsidR="002110AC">
        <w:rPr>
          <w:bCs/>
          <w:sz w:val="24"/>
          <w:szCs w:val="24"/>
        </w:rPr>
        <w:t xml:space="preserve"> process</w:t>
      </w:r>
      <w:r w:rsidRPr="00B416FC">
        <w:rPr>
          <w:bCs/>
          <w:sz w:val="24"/>
          <w:szCs w:val="24"/>
        </w:rPr>
        <w:t>.</w:t>
      </w:r>
    </w:p>
    <w:p w14:paraId="714ECA70" w14:textId="77777777" w:rsidR="00B416FC" w:rsidRDefault="00B416FC" w:rsidP="005E4BCC">
      <w:pPr>
        <w:rPr>
          <w:b/>
          <w:sz w:val="24"/>
          <w:szCs w:val="24"/>
        </w:rPr>
      </w:pPr>
    </w:p>
    <w:p w14:paraId="06C863B2" w14:textId="5BD1DDB7" w:rsidR="00F64FFA" w:rsidRDefault="0038696F" w:rsidP="005E4BCC">
      <w:pPr>
        <w:rPr>
          <w:b/>
          <w:sz w:val="24"/>
          <w:szCs w:val="24"/>
        </w:rPr>
      </w:pPr>
      <w:r>
        <w:rPr>
          <w:b/>
          <w:sz w:val="24"/>
          <w:szCs w:val="24"/>
        </w:rPr>
        <w:t>Proposed Position:</w:t>
      </w:r>
    </w:p>
    <w:p w14:paraId="2B809387" w14:textId="4FB4E1B1" w:rsidR="0074158C" w:rsidRDefault="00E14791">
      <w:r>
        <w:t xml:space="preserve">The proposed position is to align </w:t>
      </w:r>
      <w:r w:rsidR="009D4464">
        <w:t xml:space="preserve">the text in GBCS, </w:t>
      </w:r>
      <w:r w:rsidR="00BF7DAD">
        <w:t>Table 7.3.8a</w:t>
      </w:r>
      <w:r w:rsidR="009D4464">
        <w:t>,</w:t>
      </w:r>
      <w:r w:rsidR="00BF7DAD">
        <w:t xml:space="preserve"> </w:t>
      </w:r>
      <w:r>
        <w:t xml:space="preserve">cell </w:t>
      </w:r>
      <w:r w:rsidR="009D4464">
        <w:t xml:space="preserve">‘D140’ </w:t>
      </w:r>
      <w:r>
        <w:t xml:space="preserve">in GBCS </w:t>
      </w:r>
      <w:r w:rsidR="009D4464">
        <w:t>v</w:t>
      </w:r>
      <w:r>
        <w:t>3.</w:t>
      </w:r>
      <w:r w:rsidR="009D4464">
        <w:t>x</w:t>
      </w:r>
      <w:r>
        <w:t xml:space="preserve"> versions with</w:t>
      </w:r>
      <w:r w:rsidR="009D4464">
        <w:t xml:space="preserve"> that </w:t>
      </w:r>
      <w:r w:rsidR="00E336C5">
        <w:t xml:space="preserve">already </w:t>
      </w:r>
      <w:r w:rsidR="004C0A9D">
        <w:t xml:space="preserve">included </w:t>
      </w:r>
      <w:r w:rsidR="00E336C5">
        <w:t xml:space="preserve">in </w:t>
      </w:r>
      <w:r>
        <w:t xml:space="preserve">GBCS </w:t>
      </w:r>
      <w:r w:rsidR="009D4464">
        <w:t>v</w:t>
      </w:r>
      <w:r>
        <w:t>4.0</w:t>
      </w:r>
      <w:r w:rsidR="004C0A9D">
        <w:t xml:space="preserve"> </w:t>
      </w:r>
      <w:r w:rsidR="004C0A9D" w:rsidRPr="00516EB7">
        <w:t>Draft 2</w:t>
      </w:r>
      <w:r w:rsidR="00185C2D">
        <w:t>.</w:t>
      </w:r>
    </w:p>
    <w:p w14:paraId="39418A22" w14:textId="0C90BF67" w:rsidR="003F2A71" w:rsidRDefault="003F2A71">
      <w:r>
        <w:t>By way of context</w:t>
      </w:r>
      <w:r w:rsidR="009D4464">
        <w:t xml:space="preserve"> and as referred to in the explanation to TS1257</w:t>
      </w:r>
      <w:r w:rsidR="00B416FC">
        <w:rPr>
          <w:rStyle w:val="FootnoteReference"/>
        </w:rPr>
        <w:footnoteReference w:id="3"/>
      </w:r>
      <w:r>
        <w:t>, GBCS 7.3.2 requires that:</w:t>
      </w:r>
    </w:p>
    <w:p w14:paraId="52499517" w14:textId="50DFE1D3" w:rsidR="003F2A71" w:rsidRPr="009D4464" w:rsidRDefault="009D4464" w:rsidP="00BF7DAD">
      <w:pPr>
        <w:ind w:left="327"/>
        <w:rPr>
          <w:lang w:eastAsia="en-GB"/>
        </w:rPr>
      </w:pPr>
      <w:r>
        <w:rPr>
          <w:lang w:eastAsia="en-GB"/>
        </w:rPr>
        <w:t>‘</w:t>
      </w:r>
      <w:r w:rsidR="003F2A71" w:rsidRPr="009D4464">
        <w:rPr>
          <w:i/>
          <w:iCs/>
          <w:lang w:eastAsia="en-GB"/>
        </w:rPr>
        <w:t xml:space="preserve">All Devices which are ESME (so where </w:t>
      </w:r>
      <w:proofErr w:type="spellStart"/>
      <w:r w:rsidR="003F2A71" w:rsidRPr="009D4464">
        <w:rPr>
          <w:rStyle w:val="CNFontChar"/>
          <w:i/>
          <w:iCs/>
        </w:rPr>
        <w:t>deviceType</w:t>
      </w:r>
      <w:proofErr w:type="spellEnd"/>
      <w:r w:rsidR="003F2A71" w:rsidRPr="009D4464">
        <w:rPr>
          <w:i/>
          <w:iCs/>
          <w:lang w:eastAsia="en-GB"/>
        </w:rPr>
        <w:t xml:space="preserve"> = 1) </w:t>
      </w:r>
      <w:r w:rsidR="003F2A71" w:rsidRPr="009D4464">
        <w:rPr>
          <w:i/>
          <w:iCs/>
        </w:rPr>
        <w:t xml:space="preserve">shall have the constant values set for the DLMS COSEM attributes specified as requiring constant values in Table </w:t>
      </w:r>
      <w:r w:rsidRPr="009D4464">
        <w:rPr>
          <w:i/>
          <w:iCs/>
        </w:rPr>
        <w:t>7.3.8</w:t>
      </w:r>
      <w:r w:rsidR="003F2A71" w:rsidRPr="009D4464">
        <w:rPr>
          <w:i/>
          <w:iCs/>
        </w:rPr>
        <w:t>a,</w:t>
      </w:r>
      <w:r w:rsidR="00BF7DAD" w:rsidRPr="009D4464">
        <w:rPr>
          <w:i/>
          <w:iCs/>
        </w:rPr>
        <w:t xml:space="preserve"> </w:t>
      </w:r>
      <w:r w:rsidR="003F2A71" w:rsidRPr="009D4464">
        <w:rPr>
          <w:i/>
          <w:iCs/>
        </w:rPr>
        <w:t>and shall ensure that such values cannot be amended, save via activation of new firmware.</w:t>
      </w:r>
      <w:r>
        <w:t>’</w:t>
      </w:r>
    </w:p>
    <w:p w14:paraId="0CC702B7" w14:textId="740C0EDC" w:rsidR="003F2A71" w:rsidRDefault="003F2A71">
      <w:r>
        <w:t xml:space="preserve">Therefore, </w:t>
      </w:r>
      <w:r w:rsidR="00A35956">
        <w:t>Table 7.3.8a mandates constant ESME values</w:t>
      </w:r>
      <w:r w:rsidR="0043374B">
        <w:t xml:space="preserve"> that must </w:t>
      </w:r>
      <w:r w:rsidR="00BF7DAD">
        <w:t>b</w:t>
      </w:r>
      <w:r w:rsidR="0043374B">
        <w:t>e set before installation and must not be changed except by firmware upgrade</w:t>
      </w:r>
      <w:r w:rsidR="00A35956">
        <w:t xml:space="preserve">. </w:t>
      </w:r>
      <w:r w:rsidR="009D4464">
        <w:t xml:space="preserve"> Table 7.3.8a </w:t>
      </w:r>
      <w:r w:rsidR="00A35956">
        <w:t xml:space="preserve">also contains some explanatory text in relation to some </w:t>
      </w:r>
      <w:r w:rsidR="00BF7DAD">
        <w:t xml:space="preserve">of the constant </w:t>
      </w:r>
      <w:r w:rsidR="00A35956">
        <w:t xml:space="preserve">values. </w:t>
      </w:r>
      <w:r w:rsidR="009D4464">
        <w:t xml:space="preserve"> </w:t>
      </w:r>
      <w:r w:rsidR="00A35956">
        <w:t xml:space="preserve">It is that explanatory text which </w:t>
      </w:r>
      <w:r w:rsidR="00A35956">
        <w:lastRenderedPageBreak/>
        <w:t xml:space="preserve">was </w:t>
      </w:r>
      <w:r w:rsidR="00185C2D">
        <w:t xml:space="preserve">changed </w:t>
      </w:r>
      <w:r w:rsidR="00A35956">
        <w:t xml:space="preserve">to align to wider SMETS / GBCS requirements, specifically in relation to a DLMS class 111 </w:t>
      </w:r>
      <w:r w:rsidR="00BF7DAD">
        <w:t xml:space="preserve">(Account) </w:t>
      </w:r>
      <w:r w:rsidR="00A35956">
        <w:t>object</w:t>
      </w:r>
      <w:r w:rsidR="00BF7DAD">
        <w:t>.</w:t>
      </w:r>
      <w:r w:rsidR="00185C2D">
        <w:t xml:space="preserve">  </w:t>
      </w:r>
    </w:p>
    <w:p w14:paraId="70E33E62" w14:textId="77777777" w:rsidR="009D4464" w:rsidRDefault="009D4464">
      <w:pPr>
        <w:rPr>
          <w:b/>
          <w:sz w:val="24"/>
          <w:szCs w:val="24"/>
        </w:rPr>
      </w:pPr>
    </w:p>
    <w:p w14:paraId="4FA9F35C" w14:textId="386F38A5" w:rsidR="00F64FFA" w:rsidRDefault="0038696F">
      <w:pPr>
        <w:rPr>
          <w:b/>
          <w:sz w:val="24"/>
          <w:szCs w:val="24"/>
        </w:rPr>
      </w:pPr>
      <w:r>
        <w:rPr>
          <w:b/>
          <w:sz w:val="24"/>
          <w:szCs w:val="24"/>
        </w:rPr>
        <w:t xml:space="preserve">Interoperability and / or Compatibility </w:t>
      </w:r>
    </w:p>
    <w:p w14:paraId="5B6229CB" w14:textId="32F26C7E" w:rsidR="0074158C" w:rsidRDefault="00E14791">
      <w:pPr>
        <w:rPr>
          <w:rFonts w:eastAsia="Times New Roman" w:cs="Arial"/>
          <w:color w:val="000000"/>
          <w:szCs w:val="24"/>
          <w:lang w:eastAsia="en-GB"/>
        </w:rPr>
      </w:pPr>
      <w:r>
        <w:rPr>
          <w:rFonts w:eastAsia="Times New Roman" w:cs="Arial"/>
          <w:color w:val="000000"/>
          <w:szCs w:val="24"/>
          <w:lang w:eastAsia="en-GB"/>
        </w:rPr>
        <w:t>This correction affects internal ESME behaviour only, and so has no impact on interoperability.</w:t>
      </w:r>
    </w:p>
    <w:p w14:paraId="24E0BFF8" w14:textId="64AA5A94" w:rsidR="00987F3F" w:rsidRDefault="00987F3F">
      <w:pPr>
        <w:rPr>
          <w:rFonts w:eastAsia="Times New Roman" w:cs="Arial"/>
          <w:color w:val="000000"/>
          <w:szCs w:val="24"/>
          <w:lang w:eastAsia="en-GB"/>
        </w:rPr>
      </w:pPr>
    </w:p>
    <w:p w14:paraId="4055622C" w14:textId="3EFDACF3" w:rsidR="00F64FFA" w:rsidRDefault="0038696F">
      <w:pPr>
        <w:rPr>
          <w:b/>
          <w:sz w:val="24"/>
          <w:szCs w:val="24"/>
        </w:rPr>
      </w:pPr>
      <w:r>
        <w:rPr>
          <w:b/>
          <w:sz w:val="24"/>
          <w:szCs w:val="24"/>
        </w:rPr>
        <w:t>Required Changes to Documentation:</w:t>
      </w:r>
    </w:p>
    <w:p w14:paraId="30DDBAA2" w14:textId="41E364A6" w:rsidR="00987F3F" w:rsidRPr="00E336C5" w:rsidRDefault="006501F2">
      <w:pPr>
        <w:rPr>
          <w:rFonts w:cs="Arial"/>
        </w:rPr>
      </w:pPr>
      <w:r w:rsidRPr="00E336C5">
        <w:t xml:space="preserve">At GBCS v3.x, replace </w:t>
      </w:r>
      <w:r w:rsidR="00A35956" w:rsidRPr="00E336C5">
        <w:t xml:space="preserve">the contents of cell D140 in </w:t>
      </w:r>
      <w:r w:rsidR="00A35956" w:rsidRPr="00E336C5">
        <w:rPr>
          <w:rFonts w:cs="Arial"/>
        </w:rPr>
        <w:t xml:space="preserve">the Objects Tab of Table 7.3.8 (so Table 7.3.8a) </w:t>
      </w:r>
      <w:r w:rsidR="007C1CEC" w:rsidRPr="00E336C5">
        <w:rPr>
          <w:rFonts w:cs="Arial"/>
        </w:rPr>
        <w:t>with</w:t>
      </w:r>
      <w:r w:rsidR="00A35956" w:rsidRPr="00E336C5">
        <w:rPr>
          <w:rFonts w:cs="Arial"/>
        </w:rPr>
        <w:t>:</w:t>
      </w:r>
    </w:p>
    <w:p w14:paraId="52AA1B26" w14:textId="55C83179" w:rsidR="00A35956" w:rsidRPr="00A35956" w:rsidRDefault="006501F2" w:rsidP="00A35956">
      <w:pPr>
        <w:ind w:left="327"/>
        <w:rPr>
          <w:sz w:val="20"/>
        </w:rPr>
      </w:pPr>
      <w:r>
        <w:rPr>
          <w:sz w:val="20"/>
        </w:rPr>
        <w:t>‘</w:t>
      </w:r>
      <w:r w:rsidR="00A35956" w:rsidRPr="00A35956">
        <w:rPr>
          <w:sz w:val="20"/>
        </w:rPr>
        <w:t>When this passive object is activated:</w:t>
      </w:r>
    </w:p>
    <w:p w14:paraId="62E070AC" w14:textId="77777777" w:rsidR="00A35956" w:rsidRPr="00A35956" w:rsidRDefault="00A35956" w:rsidP="00A35956">
      <w:pPr>
        <w:ind w:left="327"/>
        <w:rPr>
          <w:sz w:val="20"/>
        </w:rPr>
      </w:pPr>
      <w:r w:rsidRPr="00A35956">
        <w:rPr>
          <w:sz w:val="20"/>
        </w:rPr>
        <w:t xml:space="preserve">1) then the </w:t>
      </w:r>
      <w:proofErr w:type="gramStart"/>
      <w:r w:rsidRPr="00A35956">
        <w:rPr>
          <w:sz w:val="20"/>
        </w:rPr>
        <w:t>BillingDataLog(</w:t>
      </w:r>
      <w:proofErr w:type="gramEnd"/>
      <w:r w:rsidRPr="00A35956">
        <w:rPr>
          <w:sz w:val="20"/>
        </w:rPr>
        <w:t>SetPaymentModeOrTariffTriggeredFinancialExcExport) and the BillingDataLog(SetPaymentModeOrTariffTriggeredFinancialExportOnly) shall be updated.</w:t>
      </w:r>
    </w:p>
    <w:p w14:paraId="574F5797" w14:textId="77777777" w:rsidR="00A35956" w:rsidRPr="00A35956" w:rsidRDefault="00A35956" w:rsidP="00A35956">
      <w:pPr>
        <w:ind w:left="327"/>
        <w:rPr>
          <w:sz w:val="20"/>
        </w:rPr>
      </w:pPr>
      <w:r w:rsidRPr="00A35956">
        <w:rPr>
          <w:sz w:val="20"/>
        </w:rPr>
        <w:t xml:space="preserve">2)If prepayment is being invoked then it shall activate any pending time or payment debt objects and ensure that </w:t>
      </w:r>
      <w:proofErr w:type="spellStart"/>
      <w:r w:rsidRPr="00A35956">
        <w:rPr>
          <w:sz w:val="20"/>
        </w:rPr>
        <w:t>topups</w:t>
      </w:r>
      <w:proofErr w:type="spellEnd"/>
      <w:r w:rsidRPr="00A35956">
        <w:rPr>
          <w:sz w:val="20"/>
        </w:rPr>
        <w:t xml:space="preserve"> can be accepted.</w:t>
      </w:r>
    </w:p>
    <w:p w14:paraId="56824DAA" w14:textId="05423C35" w:rsidR="00A35956" w:rsidRDefault="00A35956" w:rsidP="00A35956">
      <w:pPr>
        <w:ind w:left="327"/>
        <w:rPr>
          <w:sz w:val="20"/>
        </w:rPr>
      </w:pPr>
      <w:r w:rsidRPr="00A35956">
        <w:rPr>
          <w:sz w:val="20"/>
        </w:rPr>
        <w:t xml:space="preserve">3)If credit mode is being invoked then this object shall disable any time and payment debt objects and shall take steps to ensure that the disconnector does not open as a result of this invocation and shall ensure that </w:t>
      </w:r>
      <w:proofErr w:type="spellStart"/>
      <w:r w:rsidRPr="00A35956">
        <w:rPr>
          <w:sz w:val="20"/>
        </w:rPr>
        <w:t>topups</w:t>
      </w:r>
      <w:proofErr w:type="spellEnd"/>
      <w:r w:rsidRPr="00A35956">
        <w:rPr>
          <w:sz w:val="20"/>
        </w:rPr>
        <w:t xml:space="preserve"> are not </w:t>
      </w:r>
      <w:proofErr w:type="gramStart"/>
      <w:r w:rsidRPr="00A35956">
        <w:rPr>
          <w:sz w:val="20"/>
        </w:rPr>
        <w:t>accepted</w:t>
      </w:r>
      <w:r w:rsidR="006501F2">
        <w:rPr>
          <w:sz w:val="20"/>
        </w:rPr>
        <w:t>’</w:t>
      </w:r>
      <w:proofErr w:type="gramEnd"/>
    </w:p>
    <w:p w14:paraId="3B38B35E" w14:textId="77777777" w:rsidR="00A35956" w:rsidRPr="00987F3F" w:rsidRDefault="00A35956">
      <w:pPr>
        <w:rPr>
          <w:sz w:val="20"/>
          <w:szCs w:val="20"/>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E4BC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1A1603C7" w:rsidR="00F64FFA" w:rsidRDefault="0005549B">
            <w:pPr>
              <w:pStyle w:val="NoSpacing"/>
            </w:pPr>
            <w:r>
              <w:t>GBCS v3.x &amp; any subsequent GBCS</w:t>
            </w:r>
          </w:p>
        </w:tc>
      </w:tr>
      <w:tr w:rsidR="00F64FFA" w14:paraId="403A1486" w14:textId="77777777" w:rsidTr="005E4BC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E4BCC">
        <w:tc>
          <w:tcPr>
            <w:tcW w:w="3865" w:type="dxa"/>
            <w:shd w:val="clear" w:color="auto" w:fill="auto"/>
          </w:tcPr>
          <w:p w14:paraId="0F3221F6" w14:textId="77777777" w:rsidR="00F64FFA" w:rsidRDefault="0038696F">
            <w:pPr>
              <w:pStyle w:val="NoSpacing"/>
              <w:rPr>
                <w:b/>
              </w:rPr>
            </w:pPr>
            <w:r>
              <w:rPr>
                <w:b/>
              </w:rPr>
              <w:t>Attachment(s)</w:t>
            </w:r>
          </w:p>
        </w:tc>
        <w:bookmarkStart w:id="1" w:name="_MON_1651577038"/>
        <w:bookmarkEnd w:id="1"/>
        <w:tc>
          <w:tcPr>
            <w:tcW w:w="5197" w:type="dxa"/>
            <w:shd w:val="clear" w:color="auto" w:fill="auto"/>
          </w:tcPr>
          <w:p w14:paraId="29D9E9D3" w14:textId="27EC04C4" w:rsidR="00D56104" w:rsidRDefault="00BF7DAD">
            <w:pPr>
              <w:pStyle w:val="NoSpacing"/>
            </w:pPr>
            <w:r>
              <w:object w:dxaOrig="1489" w:dyaOrig="992" w14:anchorId="06209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2" o:title=""/>
                </v:shape>
                <o:OLEObject Type="Embed" ProgID="Word.Document.12" ShapeID="_x0000_i1025" DrawAspect="Icon" ObjectID="_1672149018" r:id="rId13">
                  <o:FieldCodes>\s</o:FieldCodes>
                </o:OLEObject>
              </w:object>
            </w:r>
            <w:r w:rsidR="00D56104">
              <w:t xml:space="preserve"> </w:t>
            </w:r>
          </w:p>
          <w:bookmarkStart w:id="2" w:name="_MON_1652082647"/>
          <w:bookmarkEnd w:id="2"/>
          <w:p w14:paraId="114DA693" w14:textId="06CE8208" w:rsidR="00F64FFA" w:rsidRDefault="00D56104">
            <w:pPr>
              <w:pStyle w:val="NoSpacing"/>
            </w:pPr>
            <w:r>
              <w:object w:dxaOrig="1543" w:dyaOrig="1000" w14:anchorId="480B7753">
                <v:shape id="_x0000_i1026" type="#_x0000_t75" style="width:77.25pt;height:50.25pt" o:ole="">
                  <v:imagedata r:id="rId14" o:title=""/>
                </v:shape>
                <o:OLEObject Type="Embed" ProgID="Word.Document.12" ShapeID="_x0000_i1026" DrawAspect="Icon" ObjectID="_1672149019" r:id="rId15">
                  <o:FieldCodes>\s</o:FieldCodes>
                </o:OLEObject>
              </w:object>
            </w:r>
            <w:r>
              <w:t xml:space="preserve"> </w:t>
            </w:r>
            <w:bookmarkStart w:id="3" w:name="_MON_1651577058"/>
            <w:bookmarkEnd w:id="3"/>
            <w:r>
              <w:object w:dxaOrig="1489" w:dyaOrig="992" w14:anchorId="323A2D9C">
                <v:shape id="_x0000_i1027" type="#_x0000_t75" style="width:74.25pt;height:49.5pt" o:ole="">
                  <v:imagedata r:id="rId16" o:title=""/>
                </v:shape>
                <o:OLEObject Type="Embed" ProgID="Word.Document.12" ShapeID="_x0000_i1027" DrawAspect="Icon" ObjectID="_1672149020" r:id="rId17">
                  <o:FieldCodes>\s</o:FieldCodes>
                </o:OLEObject>
              </w:object>
            </w:r>
          </w:p>
        </w:tc>
      </w:tr>
      <w:tr w:rsidR="009D4464" w14:paraId="71298681" w14:textId="77777777" w:rsidTr="005E4BCC">
        <w:tc>
          <w:tcPr>
            <w:tcW w:w="3865" w:type="dxa"/>
            <w:shd w:val="clear" w:color="auto" w:fill="auto"/>
          </w:tcPr>
          <w:p w14:paraId="423EB82D" w14:textId="54487D29" w:rsidR="009D4464" w:rsidRDefault="009D4464">
            <w:pPr>
              <w:pStyle w:val="NoSpacing"/>
              <w:rPr>
                <w:b/>
              </w:rPr>
            </w:pPr>
            <w:r w:rsidRPr="009D4464">
              <w:rPr>
                <w:b/>
              </w:rPr>
              <w:t>Affected Parties</w:t>
            </w:r>
            <w:r w:rsidRPr="009D4464">
              <w:rPr>
                <w:b/>
              </w:rPr>
              <w:tab/>
            </w:r>
          </w:p>
        </w:tc>
        <w:tc>
          <w:tcPr>
            <w:tcW w:w="5197" w:type="dxa"/>
            <w:shd w:val="clear" w:color="auto" w:fill="auto"/>
          </w:tcPr>
          <w:p w14:paraId="5A78F223" w14:textId="64D43D44" w:rsidR="009D4464" w:rsidRDefault="006501F2">
            <w:pPr>
              <w:pStyle w:val="NoSpacing"/>
              <w:rPr>
                <w:bCs/>
              </w:rPr>
            </w:pPr>
            <w:r>
              <w:rPr>
                <w:bCs/>
              </w:rPr>
              <w:t>ESME Manufacture</w:t>
            </w:r>
            <w:r w:rsidR="007A2FC8">
              <w:rPr>
                <w:bCs/>
              </w:rPr>
              <w:t>rs</w:t>
            </w:r>
            <w:r>
              <w:rPr>
                <w:bCs/>
              </w:rPr>
              <w:t xml:space="preserve"> </w:t>
            </w:r>
          </w:p>
          <w:p w14:paraId="065FBFA9" w14:textId="77777777" w:rsidR="007A2FC8" w:rsidRDefault="007A2FC8">
            <w:pPr>
              <w:pStyle w:val="NoSpacing"/>
              <w:rPr>
                <w:bCs/>
              </w:rPr>
            </w:pPr>
          </w:p>
          <w:p w14:paraId="7B2C64F2" w14:textId="246D8BCC" w:rsidR="007A2FC8" w:rsidRPr="006501F2" w:rsidRDefault="007A2FC8">
            <w:pPr>
              <w:pStyle w:val="NoSpacing"/>
              <w:rPr>
                <w:bCs/>
              </w:rPr>
            </w:pPr>
            <w:r>
              <w:rPr>
                <w:bCs/>
              </w:rPr>
              <w:t>Suppliers – meters may operate differently depending on the version of GBCS they comply with</w:t>
            </w:r>
          </w:p>
        </w:tc>
      </w:tr>
    </w:tbl>
    <w:p w14:paraId="605DE363" w14:textId="77777777" w:rsidR="00F64FFA" w:rsidRDefault="00F64FFA">
      <w:pPr>
        <w:spacing w:before="0" w:after="200" w:line="276" w:lineRule="auto"/>
      </w:pPr>
    </w:p>
    <w:sectPr w:rsidR="00F64FFA">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74C36" w14:textId="77777777" w:rsidR="005E3A01" w:rsidRDefault="005E3A01">
      <w:pPr>
        <w:spacing w:before="0" w:after="0"/>
      </w:pPr>
      <w:r>
        <w:separator/>
      </w:r>
    </w:p>
  </w:endnote>
  <w:endnote w:type="continuationSeparator" w:id="0">
    <w:p w14:paraId="5DB6F058" w14:textId="77777777" w:rsidR="005E3A01" w:rsidRDefault="005E3A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FF7C4" w14:textId="77777777" w:rsidR="005E3A01" w:rsidRDefault="005E3A01">
      <w:pPr>
        <w:spacing w:before="0" w:after="0"/>
      </w:pPr>
      <w:r>
        <w:separator/>
      </w:r>
    </w:p>
  </w:footnote>
  <w:footnote w:type="continuationSeparator" w:id="0">
    <w:p w14:paraId="7ACE1CE8" w14:textId="77777777" w:rsidR="005E3A01" w:rsidRDefault="005E3A01">
      <w:pPr>
        <w:spacing w:before="0" w:after="0"/>
      </w:pPr>
      <w:r>
        <w:continuationSeparator/>
      </w:r>
    </w:p>
  </w:footnote>
  <w:footnote w:id="1">
    <w:p w14:paraId="5F4EF693" w14:textId="2C4619CA" w:rsidR="00FE18DC" w:rsidRDefault="00FE18DC">
      <w:pPr>
        <w:pStyle w:val="FootnoteText"/>
      </w:pPr>
      <w:r>
        <w:rPr>
          <w:rStyle w:val="FootnoteReference"/>
        </w:rPr>
        <w:footnoteRef/>
      </w:r>
      <w:r>
        <w:t xml:space="preserve"> The ’Description’ section of this IRP631 has been rewritten following TSIRS review of the previous published </w:t>
      </w:r>
      <w:proofErr w:type="gramStart"/>
      <w:r>
        <w:t>version</w:t>
      </w:r>
      <w:proofErr w:type="gramEnd"/>
      <w:r>
        <w:t xml:space="preserve"> </w:t>
      </w:r>
    </w:p>
  </w:footnote>
  <w:footnote w:id="2">
    <w:p w14:paraId="6263D8AC" w14:textId="18CDC4FD" w:rsidR="00B416FC" w:rsidRDefault="00B416FC" w:rsidP="00B416FC">
      <w:pPr>
        <w:pStyle w:val="FootnoteText"/>
      </w:pPr>
      <w:r>
        <w:rPr>
          <w:rStyle w:val="FootnoteReference"/>
        </w:rPr>
        <w:footnoteRef/>
      </w:r>
      <w:r>
        <w:t xml:space="preserve"> This IRP631 is intended to be applied to v3.</w:t>
      </w:r>
      <w:r w:rsidR="006D7003">
        <w:t>x</w:t>
      </w:r>
      <w:r>
        <w:t xml:space="preserve"> meaning the 3.x version following the current v3.2 and all subsequent GBCS versions, although this will be subject to the timing inherent in the IRP Modification processes administered by SECAS. Note, there is no intention to retrospectively apply changes to GBCS v</w:t>
      </w:r>
      <w:r w:rsidR="004069FF">
        <w:t xml:space="preserve">3.2 or earlier </w:t>
      </w:r>
      <w:proofErr w:type="gramStart"/>
      <w:r>
        <w:t>versions</w:t>
      </w:r>
      <w:proofErr w:type="gramEnd"/>
      <w:r>
        <w:t xml:space="preserve">  </w:t>
      </w:r>
    </w:p>
  </w:footnote>
  <w:footnote w:id="3">
    <w:p w14:paraId="0C1B40C7" w14:textId="77777777" w:rsidR="00B416FC" w:rsidRDefault="00B416FC" w:rsidP="00B416FC">
      <w:pPr>
        <w:pStyle w:val="FootnoteText"/>
      </w:pPr>
      <w:r>
        <w:rPr>
          <w:rStyle w:val="FootnoteReference"/>
        </w:rPr>
        <w:footnoteRef/>
      </w:r>
      <w:r>
        <w:t xml:space="preserve"> The full explanation as published is embedded in the table at the bottom of this </w:t>
      </w:r>
      <w:proofErr w:type="gramStart"/>
      <w:r>
        <w:t>IRP</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7" w15:restartNumberingAfterBreak="0">
    <w:nsid w:val="2C8C2C8A"/>
    <w:multiLevelType w:val="hybridMultilevel"/>
    <w:tmpl w:val="FD44A5A8"/>
    <w:lvl w:ilvl="0" w:tplc="FC6C52EE">
      <w:start w:val="19"/>
      <w:numFmt w:val="lowerRoman"/>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5E3D0A12"/>
    <w:multiLevelType w:val="hybridMultilevel"/>
    <w:tmpl w:val="D52EC9CA"/>
    <w:lvl w:ilvl="0" w:tplc="FF0E5A3C">
      <w:start w:val="1"/>
      <w:numFmt w:val="lowerLetter"/>
      <w:pStyle w:val="letbullet"/>
      <w:lvlText w:val="%1)"/>
      <w:lvlJc w:val="left"/>
      <w:pPr>
        <w:ind w:left="1287" w:hanging="360"/>
      </w:pPr>
      <w:rPr>
        <w:rFonts w:hint="default"/>
      </w:r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
  </w:num>
  <w:num w:numId="2">
    <w:abstractNumId w:val="5"/>
  </w:num>
  <w:num w:numId="3">
    <w:abstractNumId w:val="3"/>
  </w:num>
  <w:num w:numId="4">
    <w:abstractNumId w:val="8"/>
  </w:num>
  <w:num w:numId="5">
    <w:abstractNumId w:val="8"/>
    <w:lvlOverride w:ilvl="0">
      <w:startOverride w:val="1"/>
    </w:lvlOverride>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1"/>
  </w:num>
  <w:num w:numId="13">
    <w:abstractNumId w:val="7"/>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4669B"/>
    <w:rsid w:val="0005549B"/>
    <w:rsid w:val="000560B1"/>
    <w:rsid w:val="00094E94"/>
    <w:rsid w:val="000D08C7"/>
    <w:rsid w:val="001075DB"/>
    <w:rsid w:val="00142A5D"/>
    <w:rsid w:val="00155660"/>
    <w:rsid w:val="001574F7"/>
    <w:rsid w:val="001805C4"/>
    <w:rsid w:val="00185C2D"/>
    <w:rsid w:val="001A234A"/>
    <w:rsid w:val="001A242E"/>
    <w:rsid w:val="001C542D"/>
    <w:rsid w:val="001D0AA8"/>
    <w:rsid w:val="002110AC"/>
    <w:rsid w:val="00232673"/>
    <w:rsid w:val="00232AF3"/>
    <w:rsid w:val="00242DFB"/>
    <w:rsid w:val="00296737"/>
    <w:rsid w:val="002C046B"/>
    <w:rsid w:val="002E5E78"/>
    <w:rsid w:val="00307B4B"/>
    <w:rsid w:val="0038696F"/>
    <w:rsid w:val="003C7AED"/>
    <w:rsid w:val="003F2A71"/>
    <w:rsid w:val="004069FF"/>
    <w:rsid w:val="00406BEC"/>
    <w:rsid w:val="00432595"/>
    <w:rsid w:val="0043374B"/>
    <w:rsid w:val="004778BC"/>
    <w:rsid w:val="00481113"/>
    <w:rsid w:val="004B6385"/>
    <w:rsid w:val="004C0A9D"/>
    <w:rsid w:val="004E7759"/>
    <w:rsid w:val="0051233D"/>
    <w:rsid w:val="00516EB7"/>
    <w:rsid w:val="00562558"/>
    <w:rsid w:val="005A6138"/>
    <w:rsid w:val="005B0E99"/>
    <w:rsid w:val="005D6109"/>
    <w:rsid w:val="005E3A01"/>
    <w:rsid w:val="005E4BCC"/>
    <w:rsid w:val="005E696C"/>
    <w:rsid w:val="00602BE9"/>
    <w:rsid w:val="00633668"/>
    <w:rsid w:val="006501F2"/>
    <w:rsid w:val="00670B7B"/>
    <w:rsid w:val="00673DF3"/>
    <w:rsid w:val="006A5B58"/>
    <w:rsid w:val="006C505C"/>
    <w:rsid w:val="006D7003"/>
    <w:rsid w:val="0074158C"/>
    <w:rsid w:val="00745DA4"/>
    <w:rsid w:val="00760630"/>
    <w:rsid w:val="00762008"/>
    <w:rsid w:val="007A2FC8"/>
    <w:rsid w:val="007C1CEC"/>
    <w:rsid w:val="007E2976"/>
    <w:rsid w:val="008304D3"/>
    <w:rsid w:val="00840FE4"/>
    <w:rsid w:val="008513E6"/>
    <w:rsid w:val="00872C02"/>
    <w:rsid w:val="0087483E"/>
    <w:rsid w:val="0090688B"/>
    <w:rsid w:val="00954943"/>
    <w:rsid w:val="00987F3F"/>
    <w:rsid w:val="009A4200"/>
    <w:rsid w:val="009D4464"/>
    <w:rsid w:val="009E14DF"/>
    <w:rsid w:val="009E2B35"/>
    <w:rsid w:val="009E75DE"/>
    <w:rsid w:val="00A02A97"/>
    <w:rsid w:val="00A35956"/>
    <w:rsid w:val="00AA4F21"/>
    <w:rsid w:val="00AB634D"/>
    <w:rsid w:val="00AC4E3F"/>
    <w:rsid w:val="00AD0A4E"/>
    <w:rsid w:val="00AE4AFF"/>
    <w:rsid w:val="00AE782F"/>
    <w:rsid w:val="00B27E13"/>
    <w:rsid w:val="00B416FC"/>
    <w:rsid w:val="00B5030A"/>
    <w:rsid w:val="00B63A95"/>
    <w:rsid w:val="00B84CBA"/>
    <w:rsid w:val="00BA1555"/>
    <w:rsid w:val="00BC0F13"/>
    <w:rsid w:val="00BD6697"/>
    <w:rsid w:val="00BF2844"/>
    <w:rsid w:val="00BF7DAD"/>
    <w:rsid w:val="00C60063"/>
    <w:rsid w:val="00CA3827"/>
    <w:rsid w:val="00CB005E"/>
    <w:rsid w:val="00D0294A"/>
    <w:rsid w:val="00D05C4A"/>
    <w:rsid w:val="00D13946"/>
    <w:rsid w:val="00D56104"/>
    <w:rsid w:val="00D64540"/>
    <w:rsid w:val="00D83E79"/>
    <w:rsid w:val="00DA18F3"/>
    <w:rsid w:val="00DB6B43"/>
    <w:rsid w:val="00DE34E8"/>
    <w:rsid w:val="00DF5E05"/>
    <w:rsid w:val="00E14791"/>
    <w:rsid w:val="00E336C5"/>
    <w:rsid w:val="00E60EB4"/>
    <w:rsid w:val="00E73D7E"/>
    <w:rsid w:val="00EC65B7"/>
    <w:rsid w:val="00F6284F"/>
    <w:rsid w:val="00F64FFA"/>
    <w:rsid w:val="00FA69BB"/>
    <w:rsid w:val="00FC5942"/>
    <w:rsid w:val="00FE18DC"/>
    <w:rsid w:val="00FE4DF9"/>
    <w:rsid w:val="00FE59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etbullet">
    <w:name w:val="let bullet"/>
    <w:basedOn w:val="ListBullet"/>
    <w:qFormat/>
    <w:rsid w:val="005E4BCC"/>
    <w:pPr>
      <w:numPr>
        <w:numId w:val="12"/>
      </w:numPr>
      <w:spacing w:before="120" w:after="120"/>
      <w:contextualSpacing/>
    </w:pPr>
    <w:rPr>
      <w:rFonts w:eastAsia="Calibri"/>
    </w:rPr>
  </w:style>
  <w:style w:type="character" w:customStyle="1" w:styleId="xref">
    <w:name w:val="xref"/>
    <w:uiPriority w:val="1"/>
    <w:rsid w:val="005E4BCC"/>
    <w:rPr>
      <w:rFonts w:ascii="Calibri" w:hAnsi="Calibri"/>
      <w:i/>
      <w:sz w:val="24"/>
    </w:rPr>
  </w:style>
  <w:style w:type="character" w:styleId="FootnoteReference">
    <w:name w:val="footnote reference"/>
    <w:basedOn w:val="DefaultParagraphFont"/>
    <w:uiPriority w:val="99"/>
    <w:semiHidden/>
    <w:unhideWhenUsed/>
    <w:rsid w:val="006501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25308489">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egacyDocumentLink xmlns="12cff280-46d3-4d75-8ec5-390382d392fa" xsi:nil="true"/>
    <LegacyDocumentType xmlns="12cff280-46d3-4d75-8ec5-390382d392fa" xsi:nil="true"/>
    <LegacyLastActionDate xmlns="12cff280-46d3-4d75-8ec5-390382d392fa" xsi:nil="true"/>
    <LegacyRequestType xmlns="12cff280-46d3-4d75-8ec5-390382d392fa" xsi:nil="true"/>
    <LegacyFolderNotes xmlns="12cff280-46d3-4d75-8ec5-390382d392fa" xsi:nil="true"/>
    <LegacyDescriptor xmlns="12cff280-46d3-4d75-8ec5-390382d392fa" xsi:nil="true"/>
    <LegacyExpiryReviewDate xmlns="12cff280-46d3-4d75-8ec5-390382d392fa" xsi:nil="true"/>
    <LegacyNumericClass xmlns="12cff280-46d3-4d75-8ec5-390382d392fa" xsi:nil="true"/>
    <_dlc_DocId xmlns="12cff280-46d3-4d75-8ec5-390382d392fa">2QFN7KK647Q6-1153347766-94977</_dlc_DocId>
    <ExternallyShared xmlns="12cff280-46d3-4d75-8ec5-390382d392fa" xsi:nil="true"/>
    <LegacyDateFileReturned xmlns="12cff280-46d3-4d75-8ec5-390382d392fa" xsi:nil="true"/>
    <LegacyProtectiveMarking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ReferencesToOtherItems xmlns="12cff280-46d3-4d75-8ec5-390382d392fa" xsi:nil="true"/>
    <LegacyLastModifiedDate xmlns="12cff280-46d3-4d75-8ec5-390382d392fa" xsi:nil="true"/>
    <Retention_x0020_Label xmlns="12cff280-46d3-4d75-8ec5-390382d392fa">HMG PPP Review</Retention_x0020_Label>
    <LegacyDocumentID xmlns="12cff280-46d3-4d75-8ec5-390382d392fa" xsi:nil="true"/>
    <Date_x0020_Opened xmlns="12cff280-46d3-4d75-8ec5-390382d392fa">2020-06-08T14:05:50+00:00</Date_x0020_Opened>
    <Descriptor xmlns="12cff280-46d3-4d75-8ec5-390382d392fa">LOCSEN</Descriptor>
    <LegacyMP xmlns="12cff280-46d3-4d75-8ec5-390382d392fa" xsi:nil="true"/>
    <CIRRUSPreviousID xmlns="12cff280-46d3-4d75-8ec5-390382d392fa" xsi:nil="true"/>
    <LegacyFolderDocumentID xmlns="12cff280-46d3-4d75-8ec5-390382d392fa" xsi:nil="true"/>
    <LegacyCurrentLocation xmlns="12cff280-46d3-4d75-8ec5-390382d392fa" xsi:nil="true"/>
    <CIRRUSPreviousRetentionPolicy xmlns="abaa188e-4483-4430-9951-34468843f6d5" xsi:nil="true"/>
    <LegacyDateFileRequested xmlns="12cff280-46d3-4d75-8ec5-390382d392fa" xsi:nil="true"/>
    <LegacyRecordCategoryIdentifier xmlns="12cff280-46d3-4d75-8ec5-390382d392fa" xsi:nil="true"/>
    <LegacyDateClosed xmlns="12cff280-46d3-4d75-8ec5-390382d392fa" xsi:nil="true"/>
    <LegacyMinister xmlns="12cff280-46d3-4d75-8ec5-390382d392fa" xsi:nil="true"/>
    <LegacyPhysicalItemLocation xmlns="12cff280-46d3-4d75-8ec5-390382d392fa" xsi:nil="true"/>
    <LegacyDispositionAsOfDate xmlns="12cff280-46d3-4d75-8ec5-390382d392fa" xsi:nil="true"/>
    <LegacyAdditionalAuthors xmlns="12cff280-46d3-4d75-8ec5-390382d392fa" xsi:nil="true"/>
    <National_x0020_Caveat xmlns="12cff280-46d3-4d75-8ec5-390382d392fa" xsi:nil="true"/>
    <Security_x0020_Classification xmlns="12cff280-46d3-4d75-8ec5-390382d392fa">OFFICIAL</Security_x0020_Classification>
    <_dlc_DocIdUrl xmlns="12cff280-46d3-4d75-8ec5-390382d392fa">
      <Url>https://beisgov.sharepoint.com/sites/SMIP-EXT-423/_layouts/15/DocIdRedir.aspx?ID=2QFN7KK647Q6-1153347766-94977</Url>
      <Description>2QFN7KK647Q6-1153347766-94977</Description>
    </_dlc_DocIdUrl>
    <LegacyModifier xmlns="12cff280-46d3-4d75-8ec5-390382d392fa">
      <UserInfo>
        <DisplayName/>
        <AccountId xsi:nil="true"/>
        <AccountType/>
      </UserInfo>
    </LegacyModifier>
    <LegacyStatusonTransfer xmlns="12cff280-46d3-4d75-8ec5-390382d392fa" xsi:nil="true"/>
    <Date_x0020_Closed xmlns="12cff280-46d3-4d75-8ec5-390382d392fa" xsi:nil="true"/>
    <LegacyFolder xmlns="12cff280-46d3-4d75-8ec5-390382d392fa" xsi:nil="true"/>
    <LegacyTags xmlns="12cff280-46d3-4d75-8ec5-390382d392fa" xsi:nil="true"/>
    <Handling_x0020_Instructions xmlns="12cff280-46d3-4d75-8ec5-390382d392fa" xsi:nil="true"/>
    <CIRRUSPreviousLocation xmlns="12cff280-46d3-4d75-8ec5-390382d392fa" xsi:nil="true"/>
    <LegacyCaseReferenceNumber xmlns="abaa188e-4483-4430-9951-34468843f6d5" xsi:nil="true"/>
    <LegacyRecordFolderIdentifier xmlns="12cff280-46d3-4d75-8ec5-390382d392fa" xsi:nil="true"/>
    <LegacyContentType xmlns="12cff280-46d3-4d75-8ec5-390382d392fa" xsi:nil="true"/>
    <LegacyFolderLink xmlns="12cff280-46d3-4d75-8ec5-390382d392fa" xsi:nil="true"/>
    <LegacyCopyright xmlns="12cff280-46d3-4d75-8ec5-390382d392fa" xsi:nil="true"/>
    <LegacyFolderType xmlns="12cff280-46d3-4d75-8ec5-390382d392fa" xsi:nil="true"/>
    <TaxCatchAll xmlns="12cff280-46d3-4d75-8ec5-390382d392fa">
      <Value>1</Value>
    </TaxCatchAll>
    <LegacyHomeLocation xmlns="12cff280-46d3-4d75-8ec5-390382d392fa" xsi:nil="true"/>
    <LegacyFileplanTarget xmlns="12cff280-46d3-4d75-8ec5-390382d392fa" xsi:nil="true"/>
    <LegacyReferencesFromOtherItems xmlns="12cff280-46d3-4d75-8ec5-390382d392fa" xsi:nil="true"/>
    <LegacyCustodian xmlns="12cff280-46d3-4d75-8ec5-390382d392fa" xsi:nil="true"/>
    <LegacyPhysicalFormat xmlns="12cff280-46d3-4d75-8ec5-390382d392fa">false</LegacyPhysicalFormat>
    <LegacyDateFileReceived xmlns="12cff280-46d3-4d75-8ec5-390382d392fa" xsi:nil="true"/>
    <Government_x0020_Body xmlns="12cff280-46d3-4d75-8ec5-390382d392fa">BEIS</Government_x0020_Body>
    <LegacyData xmlns="12cff280-46d3-4d75-8ec5-390382d392fa">{
  "Name": "IRP631 Table 7 3 8 - Correction of Inconsistency v0_2.docx",
  "Title": "",
  "External": "",
  "Document Notes": "",
  "Security Classification": "OFFICIAL",
  "Handling Instructions": "",
  "Descriptor": "",
  "Government Body": "BEIS",
  "Business Unit": "BEIS:Energy, Transformation and Clean Growth:Smart Metering Implementation Programme",
  "Retention Label": "HMG PPP Review",
  "Date Opened": "2020-06-08T14:05:50.0000000Z",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"2020-06-08T14:05:50.0000000Z",
  "Document Modified By": "i:0#.f|membership|john.eager@beis.gov.uk",
  "Document Created By": "i:0#.f|membership|john.eager@beis.gov.uk",
  "Document ID Value": "2QFN7KK647Q6-1153347766-94977",
  "Modified": "2020-07-15T14:29:35.0000000Z",
  "Original Location": "/sites/beis/423/Shared Documents/# SMIP Governance/Tech Spec Feedback/Resolution Proposals (IRPs &amp; CRPs)/IRP631 Table 7 3 8 - Correction of Inconsistency v0_2.docx"
}</LegacyData>
    <Document_x0020_Notes xmlns="12cff280-46d3-4d75-8ec5-390382d392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B9D49-F4A2-4351-9A72-6FCCED92BB3E}">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2.xml><?xml version="1.0" encoding="utf-8"?>
<ds:datastoreItem xmlns:ds="http://schemas.openxmlformats.org/officeDocument/2006/customXml" ds:itemID="{8E093B5F-1CA9-409A-AF12-C11B30E26B85}">
  <ds:schemaRefs>
    <ds:schemaRef ds:uri="http://schemas.microsoft.com/sharepoint/v3/contenttype/forms"/>
  </ds:schemaRefs>
</ds:datastoreItem>
</file>

<file path=customXml/itemProps3.xml><?xml version="1.0" encoding="utf-8"?>
<ds:datastoreItem xmlns:ds="http://schemas.openxmlformats.org/officeDocument/2006/customXml" ds:itemID="{7962374A-312A-45B8-BC5E-E3D5A83E9261}">
  <ds:schemaRefs>
    <ds:schemaRef ds:uri="http://schemas.microsoft.com/sharepoint/events"/>
  </ds:schemaRefs>
</ds:datastoreItem>
</file>

<file path=customXml/itemProps4.xml><?xml version="1.0" encoding="utf-8"?>
<ds:datastoreItem xmlns:ds="http://schemas.openxmlformats.org/officeDocument/2006/customXml" ds:itemID="{40AC7A00-639D-4D1C-99FF-F8C7FADA9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1B5B62-578E-4ED5-971E-51987B330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2021-01-14T17:03:00Z</dcterms:created>
  <dcterms:modified xsi:type="dcterms:W3CDTF">2021-01-14T17:03:00Z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2020-07-15T14:24:14Z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61224a8d-88f6-499c-872c-0000e3910f28</vt:lpwstr>
  </property>
  <property fmtid="{D5CDD505-2E9C-101B-9397-08002B2CF9AE}" pid="8" name="MSIP_Label_ba62f585-b40f-4ab9-bafe-39150f03d124_ContentBits">
    <vt:lpwstr>0</vt:lpwstr>
  </property>
  <property fmtid="{D5CDD505-2E9C-101B-9397-08002B2CF9AE}" pid="9" name="Business Unit">
    <vt:lpwstr>1;#Smart Metering Implementation Programme|bb7732ef-da62-4d24-b6f9-71b10bcc1ea2</vt:lpwstr>
  </property>
  <property fmtid="{D5CDD505-2E9C-101B-9397-08002B2CF9AE}" pid="10" name="ContentTypeId">
    <vt:lpwstr>0x010100D25F94341B9B1449B2438654B4A2A386</vt:lpwstr>
  </property>
  <property fmtid="{D5CDD505-2E9C-101B-9397-08002B2CF9AE}" pid="11" name="_dlc_DocIdItemGuid">
    <vt:lpwstr>eec20aac-0349-4984-bec9-1ed96c11b906</vt:lpwstr>
  </property>
  <property fmtid="{D5CDD505-2E9C-101B-9397-08002B2CF9AE}" pid="12" name="MailSubject">
    <vt:lpwstr/>
  </property>
  <property fmtid="{D5CDD505-2E9C-101B-9397-08002B2CF9AE}" pid="13" name="LegacyPaperReason">
    <vt:lpwstr/>
  </property>
  <property fmtid="{D5CDD505-2E9C-101B-9397-08002B2CF9AE}" pid="14" name="MailPreviewData">
    <vt:lpwstr/>
  </property>
  <property fmtid="{D5CDD505-2E9C-101B-9397-08002B2CF9AE}" pid="15" name="MailAttachments">
    <vt:bool>false</vt:bool>
  </property>
  <property fmtid="{D5CDD505-2E9C-101B-9397-08002B2CF9AE}" pid="16" name="LegacyMovementHistory">
    <vt:lpwstr/>
  </property>
  <property fmtid="{D5CDD505-2E9C-101B-9397-08002B2CF9AE}" pid="17" name="MailIn-Reply-To">
    <vt:lpwstr/>
  </property>
  <property fmtid="{D5CDD505-2E9C-101B-9397-08002B2CF9AE}" pid="18" name="Held By">
    <vt:lpwstr/>
  </property>
  <property fmtid="{D5CDD505-2E9C-101B-9397-08002B2CF9AE}" pid="19" name="MailTo">
    <vt:lpwstr/>
  </property>
  <property fmtid="{D5CDD505-2E9C-101B-9397-08002B2CF9AE}" pid="20" name="LegacyHistoricalBarcode">
    <vt:lpwstr/>
  </property>
  <property fmtid="{D5CDD505-2E9C-101B-9397-08002B2CF9AE}" pid="21" name="MailFrom">
    <vt:lpwstr/>
  </property>
  <property fmtid="{D5CDD505-2E9C-101B-9397-08002B2CF9AE}" pid="22" name="MailOriginalSubject">
    <vt:lpwstr/>
  </property>
  <property fmtid="{D5CDD505-2E9C-101B-9397-08002B2CF9AE}" pid="23" name="LegacyAddresses">
    <vt:lpwstr/>
  </property>
  <property fmtid="{D5CDD505-2E9C-101B-9397-08002B2CF9AE}" pid="24" name="MailCc">
    <vt:lpwstr/>
  </property>
  <property fmtid="{D5CDD505-2E9C-101B-9397-08002B2CF9AE}" pid="25" name="LegacyPhysicalObject">
    <vt:bool>false</vt:bool>
  </property>
  <property fmtid="{D5CDD505-2E9C-101B-9397-08002B2CF9AE}" pid="26" name="LegacyAddressee">
    <vt:lpwstr/>
  </property>
  <property fmtid="{D5CDD505-2E9C-101B-9397-08002B2CF9AE}" pid="27" name="CIRRUSPreviousRetentionPolicy0">
    <vt:lpwstr/>
  </property>
  <property fmtid="{D5CDD505-2E9C-101B-9397-08002B2CF9AE}" pid="28" name="MailReferences">
    <vt:lpwstr/>
  </property>
  <property fmtid="{D5CDD505-2E9C-101B-9397-08002B2CF9AE}" pid="29" name="Barcode">
    <vt:lpwstr/>
  </property>
  <property fmtid="{D5CDD505-2E9C-101B-9397-08002B2CF9AE}" pid="30" name="LegacySubject">
    <vt:lpwstr/>
  </property>
  <property fmtid="{D5CDD505-2E9C-101B-9397-08002B2CF9AE}" pid="31" name="LegacyBarcode">
    <vt:lpwstr/>
  </property>
  <property fmtid="{D5CDD505-2E9C-101B-9397-08002B2CF9AE}" pid="32" name="MailReply-To">
    <vt:lpwstr/>
  </property>
  <property fmtid="{D5CDD505-2E9C-101B-9397-08002B2CF9AE}" pid="33" name="LegacyCaseReferenceNumber0">
    <vt:lpwstr/>
  </property>
  <property fmtid="{D5CDD505-2E9C-101B-9397-08002B2CF9AE}" pid="34" name="LegacyForeignBarcode">
    <vt:lpwstr/>
  </property>
  <property fmtid="{D5CDD505-2E9C-101B-9397-08002B2CF9AE}" pid="35" name="LegacyDisposition">
    <vt:lpwstr/>
  </property>
  <property fmtid="{D5CDD505-2E9C-101B-9397-08002B2CF9AE}" pid="36" name="LegacyOriginator">
    <vt:lpwstr/>
  </property>
</Properties>
</file>